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07" w:rsidRDefault="007E3007" w:rsidP="007E3007">
      <w:pPr>
        <w:rPr>
          <w:u w:val="single"/>
        </w:rPr>
      </w:pPr>
      <w:r w:rsidRPr="00993994">
        <w:rPr>
          <w:u w:val="single"/>
        </w:rPr>
        <w:t>Participants :</w:t>
      </w:r>
    </w:p>
    <w:p w:rsidR="00F5107E" w:rsidRDefault="000261B0">
      <w:r>
        <w:t xml:space="preserve">Alain </w:t>
      </w:r>
      <w:proofErr w:type="spellStart"/>
      <w:r>
        <w:t>Benard</w:t>
      </w:r>
      <w:proofErr w:type="spellEnd"/>
      <w:r>
        <w:t xml:space="preserve"> (Nancy EEF)</w:t>
      </w:r>
    </w:p>
    <w:p w:rsidR="00E92BAC" w:rsidRPr="00E92BAC" w:rsidRDefault="00E92BAC">
      <w:r>
        <w:t xml:space="preserve">Christophe </w:t>
      </w:r>
      <w:proofErr w:type="spellStart"/>
      <w:r>
        <w:t>Moisy</w:t>
      </w:r>
      <w:proofErr w:type="spellEnd"/>
      <w:r>
        <w:t xml:space="preserve"> (Bordeaux ISPA)</w:t>
      </w:r>
    </w:p>
    <w:p w:rsidR="00E92BAC" w:rsidRDefault="00E92BAC">
      <w:r>
        <w:t>Arnaud Dubreuil (Montpellier LISAH)</w:t>
      </w:r>
    </w:p>
    <w:p w:rsidR="00030EE4" w:rsidRDefault="00030EE4">
      <w:r>
        <w:t>Jean-Baptiste Paroissien</w:t>
      </w:r>
    </w:p>
    <w:p w:rsidR="00825036" w:rsidRDefault="00825036">
      <w:r>
        <w:t>Alain Couturier (Orléans</w:t>
      </w:r>
      <w:r w:rsidR="00C851D6">
        <w:t xml:space="preserve"> USS)</w:t>
      </w:r>
    </w:p>
    <w:p w:rsidR="00030EE4" w:rsidRDefault="00030EE4">
      <w:r>
        <w:t xml:space="preserve">Hervé </w:t>
      </w:r>
      <w:proofErr w:type="spellStart"/>
      <w:r>
        <w:t>Squividant</w:t>
      </w:r>
      <w:proofErr w:type="spellEnd"/>
      <w:r>
        <w:t xml:space="preserve"> (Rennes SAS)</w:t>
      </w:r>
    </w:p>
    <w:p w:rsidR="00C851D6" w:rsidRPr="00E92BAC" w:rsidRDefault="00C851D6"/>
    <w:p w:rsidR="00BD4E44" w:rsidRPr="008A0EFB" w:rsidRDefault="00BD4E44" w:rsidP="00BD6222">
      <w:pPr>
        <w:jc w:val="both"/>
        <w:rPr>
          <w:sz w:val="18"/>
          <w:szCs w:val="18"/>
        </w:rPr>
      </w:pPr>
      <w:r>
        <w:t xml:space="preserve">Cette réunion </w:t>
      </w:r>
      <w:r w:rsidR="008A0EFB">
        <w:t xml:space="preserve">en visioconférence a fait l'objet d'un ordre du jour </w:t>
      </w:r>
      <w:r w:rsidR="00BD6222">
        <w:t>proposé par mail. L'objectif principal e</w:t>
      </w:r>
      <w:r w:rsidR="0054725C">
        <w:t>s</w:t>
      </w:r>
      <w:r w:rsidR="00BD6222">
        <w:t xml:space="preserve">t de </w:t>
      </w:r>
      <w:r w:rsidR="00030EE4">
        <w:t xml:space="preserve">faire un point de situation sur la version Bac à sable et la future version de production. Cette réunion est aussi l’occasion de discuter 2 sujets techniques que sont l’automatisation de l’alimentation de l’IDS et la supervision / équilibrage de charge. </w:t>
      </w:r>
    </w:p>
    <w:p w:rsidR="008A0EFB" w:rsidRDefault="008A0EFB" w:rsidP="00AA0BD4">
      <w:pPr>
        <w:jc w:val="both"/>
      </w:pPr>
    </w:p>
    <w:p w:rsidR="00AC10C8" w:rsidRDefault="00BD6222" w:rsidP="00AA0BD4">
      <w:pPr>
        <w:jc w:val="both"/>
      </w:pPr>
      <w:r>
        <w:t xml:space="preserve">La séance démarre avec </w:t>
      </w:r>
      <w:r w:rsidR="0064515F">
        <w:t xml:space="preserve">un point de situation d’Alain concernant le déploiement d’une </w:t>
      </w:r>
      <w:r w:rsidR="0064515F" w:rsidRPr="009537EC">
        <w:rPr>
          <w:b/>
          <w:u w:val="single"/>
        </w:rPr>
        <w:t>nouvelle version Bac à Sable</w:t>
      </w:r>
      <w:r w:rsidR="0064515F">
        <w:t xml:space="preserve"> sur du matériel dédié à la </w:t>
      </w:r>
      <w:proofErr w:type="spellStart"/>
      <w:r w:rsidR="0064515F">
        <w:t>préproduction</w:t>
      </w:r>
      <w:proofErr w:type="spellEnd"/>
      <w:r w:rsidR="0064515F">
        <w:t xml:space="preserve"> à Nancy (matériel désormais hors maintenance). Les informations principales :</w:t>
      </w:r>
    </w:p>
    <w:p w:rsidR="0064515F" w:rsidRDefault="0064515F" w:rsidP="0064515F">
      <w:pPr>
        <w:pStyle w:val="Paragraphedeliste"/>
        <w:numPr>
          <w:ilvl w:val="0"/>
          <w:numId w:val="24"/>
        </w:numPr>
        <w:jc w:val="both"/>
      </w:pPr>
      <w:r>
        <w:t xml:space="preserve">Passage de la version 13.09 à </w:t>
      </w:r>
      <w:r w:rsidRPr="009537EC">
        <w:rPr>
          <w:b/>
          <w:u w:val="single"/>
        </w:rPr>
        <w:t>14.06</w:t>
      </w:r>
      <w:r>
        <w:t xml:space="preserve"> qui permet désormais d’utiliser </w:t>
      </w:r>
      <w:proofErr w:type="spellStart"/>
      <w:r>
        <w:t>geofence</w:t>
      </w:r>
      <w:proofErr w:type="spellEnd"/>
      <w:r>
        <w:t xml:space="preserve"> pour une sécurité très fine des services / objets </w:t>
      </w:r>
      <w:proofErr w:type="spellStart"/>
      <w:r>
        <w:t>geoserver</w:t>
      </w:r>
      <w:proofErr w:type="spellEnd"/>
      <w:r>
        <w:t>.</w:t>
      </w:r>
    </w:p>
    <w:p w:rsidR="0064515F" w:rsidRDefault="0064515F" w:rsidP="0064515F">
      <w:pPr>
        <w:pStyle w:val="Paragraphedeliste"/>
        <w:numPr>
          <w:ilvl w:val="0"/>
          <w:numId w:val="24"/>
        </w:numPr>
        <w:jc w:val="both"/>
      </w:pPr>
      <w:r>
        <w:t>La quasi-totalité des applications de l’IDS est désormais déployée (</w:t>
      </w:r>
      <w:proofErr w:type="spellStart"/>
      <w:r w:rsidRPr="009537EC">
        <w:rPr>
          <w:b/>
          <w:u w:val="single"/>
        </w:rPr>
        <w:t>Geofence</w:t>
      </w:r>
      <w:proofErr w:type="spellEnd"/>
      <w:r w:rsidRPr="009537EC">
        <w:rPr>
          <w:b/>
          <w:u w:val="single"/>
        </w:rPr>
        <w:t xml:space="preserve">, </w:t>
      </w:r>
      <w:proofErr w:type="spellStart"/>
      <w:r w:rsidRPr="009537EC">
        <w:rPr>
          <w:b/>
          <w:u w:val="single"/>
        </w:rPr>
        <w:t>LdapAdmin</w:t>
      </w:r>
      <w:proofErr w:type="spellEnd"/>
      <w:r w:rsidRPr="009537EC">
        <w:rPr>
          <w:b/>
          <w:u w:val="single"/>
        </w:rPr>
        <w:t xml:space="preserve"> et </w:t>
      </w:r>
      <w:proofErr w:type="spellStart"/>
      <w:r w:rsidRPr="009537EC">
        <w:rPr>
          <w:b/>
          <w:u w:val="single"/>
        </w:rPr>
        <w:t>Analytics</w:t>
      </w:r>
      <w:proofErr w:type="spellEnd"/>
      <w:r>
        <w:t xml:space="preserve"> sont les principales nouveautés pour nous).</w:t>
      </w:r>
    </w:p>
    <w:p w:rsidR="0064515F" w:rsidRDefault="0064515F" w:rsidP="0064515F">
      <w:pPr>
        <w:pStyle w:val="Paragraphedeliste"/>
        <w:numPr>
          <w:ilvl w:val="0"/>
          <w:numId w:val="24"/>
        </w:numPr>
        <w:jc w:val="both"/>
      </w:pPr>
      <w:r>
        <w:t>La documentation est à jour (</w:t>
      </w:r>
      <w:hyperlink r:id="rId7" w:history="1">
        <w:r w:rsidRPr="0064515F">
          <w:rPr>
            <w:rStyle w:val="Lienhypertexte"/>
            <w:sz w:val="16"/>
            <w:szCs w:val="16"/>
          </w:rPr>
          <w:t>https://appgeodb.nancy.inra.fr/donnees/documentations/ids/bacasable/_map/</w:t>
        </w:r>
      </w:hyperlink>
      <w:r>
        <w:t xml:space="preserve">) et l’IDS accessible notamment au travers d’une </w:t>
      </w:r>
      <w:r w:rsidRPr="009537EC">
        <w:rPr>
          <w:b/>
          <w:u w:val="single"/>
        </w:rPr>
        <w:t>page spécifiquement développée pour faciliter l’accès aux outils</w:t>
      </w:r>
      <w:r>
        <w:t xml:space="preserve"> de supervision et applications non accessibles depuis l’interface </w:t>
      </w:r>
      <w:proofErr w:type="spellStart"/>
      <w:r>
        <w:t>georchestra</w:t>
      </w:r>
      <w:proofErr w:type="spellEnd"/>
      <w:r>
        <w:t xml:space="preserve"> (</w:t>
      </w:r>
      <w:hyperlink r:id="rId8" w:history="1">
        <w:r w:rsidRPr="0064515F">
          <w:rPr>
            <w:rStyle w:val="Lienhypertexte"/>
            <w:sz w:val="16"/>
            <w:szCs w:val="16"/>
          </w:rPr>
          <w:t>https://ids-bas-portail.nancy.inra.fr/admin/</w:t>
        </w:r>
      </w:hyperlink>
      <w:r>
        <w:t>)</w:t>
      </w:r>
    </w:p>
    <w:p w:rsidR="00BD6222" w:rsidRDefault="00A02D46" w:rsidP="00AA0BD4">
      <w:pPr>
        <w:jc w:val="both"/>
      </w:pPr>
      <w:r>
        <w:t>Les discussions sur l’</w:t>
      </w:r>
      <w:r w:rsidRPr="009537EC">
        <w:rPr>
          <w:b/>
          <w:u w:val="single"/>
        </w:rPr>
        <w:t>organisation</w:t>
      </w:r>
      <w:r>
        <w:t xml:space="preserve"> ont eu lieu tout au long de la séance, les éléments préparatoires sollicités ayant été fournis par Arnaud et Philippe</w:t>
      </w:r>
      <w:r w:rsidR="009537EC">
        <w:t xml:space="preserve"> uniquement</w:t>
      </w:r>
      <w:r>
        <w:t xml:space="preserve">. Il convient d’admettre que l’organisation </w:t>
      </w:r>
      <w:r w:rsidRPr="009537EC">
        <w:rPr>
          <w:b/>
          <w:u w:val="single"/>
        </w:rPr>
        <w:t>se définira et se mettra en place au fur et à mesure</w:t>
      </w:r>
      <w:r>
        <w:t xml:space="preserve"> de la mise en production. Les échanges et expériences font ressortir :</w:t>
      </w:r>
    </w:p>
    <w:p w:rsidR="00A02D46" w:rsidRDefault="00A02D46" w:rsidP="00A02D46">
      <w:pPr>
        <w:pStyle w:val="Paragraphedeliste"/>
        <w:numPr>
          <w:ilvl w:val="0"/>
          <w:numId w:val="25"/>
        </w:numPr>
        <w:jc w:val="both"/>
      </w:pPr>
      <w:r>
        <w:t xml:space="preserve">La </w:t>
      </w:r>
      <w:r w:rsidRPr="009537EC">
        <w:rPr>
          <w:b/>
          <w:u w:val="single"/>
        </w:rPr>
        <w:t>nécessité de responsabilités</w:t>
      </w:r>
      <w:r>
        <w:t xml:space="preserve">. L’animation de l’IDS veillera à ce que chaque élément inséré dans l’IDS (carte / fiche </w:t>
      </w:r>
      <w:proofErr w:type="spellStart"/>
      <w:r>
        <w:t>geonetwork</w:t>
      </w:r>
      <w:proofErr w:type="spellEnd"/>
      <w:r>
        <w:t>) soit bien sous la responsabilité d’une ou plusieurs personnes).</w:t>
      </w:r>
    </w:p>
    <w:p w:rsidR="00A02D46" w:rsidRDefault="00A02D46" w:rsidP="00A02D46">
      <w:pPr>
        <w:pStyle w:val="Paragraphedeliste"/>
        <w:numPr>
          <w:ilvl w:val="0"/>
          <w:numId w:val="25"/>
        </w:numPr>
        <w:jc w:val="both"/>
      </w:pPr>
      <w:r>
        <w:t xml:space="preserve">Selon les rôles énoncés dans le compte-rendu de la </w:t>
      </w:r>
      <w:proofErr w:type="spellStart"/>
      <w:r>
        <w:t>visio</w:t>
      </w:r>
      <w:proofErr w:type="spellEnd"/>
      <w:r>
        <w:t xml:space="preserve"> de juillet 2014 différents rôles sont à tenir impliquant un engagement dans des travaux de différentes natures :</w:t>
      </w:r>
    </w:p>
    <w:p w:rsidR="00A02D46" w:rsidRDefault="00A02D46" w:rsidP="00A02D46">
      <w:pPr>
        <w:pStyle w:val="Paragraphedeliste"/>
        <w:numPr>
          <w:ilvl w:val="1"/>
          <w:numId w:val="25"/>
        </w:numPr>
        <w:jc w:val="both"/>
      </w:pPr>
      <w:r w:rsidRPr="00BC1496">
        <w:rPr>
          <w:b/>
          <w:u w:val="single"/>
        </w:rPr>
        <w:t>Mise en œuvre IDS</w:t>
      </w:r>
      <w:r>
        <w:t xml:space="preserve"> (</w:t>
      </w:r>
      <w:r w:rsidRPr="00BC1496">
        <w:rPr>
          <w:b/>
          <w:u w:val="single"/>
        </w:rPr>
        <w:t>Alain</w:t>
      </w:r>
      <w:r>
        <w:t xml:space="preserve"> clairement positionné sur cet item avec </w:t>
      </w:r>
      <w:r w:rsidRPr="00BC1496">
        <w:rPr>
          <w:b/>
          <w:u w:val="single"/>
        </w:rPr>
        <w:t>Nathalie</w:t>
      </w:r>
      <w:r>
        <w:t>)</w:t>
      </w:r>
      <w:r w:rsidR="009537EC">
        <w:t xml:space="preserve"> – Il faudrait que d’autres collègues se positionnent en </w:t>
      </w:r>
      <w:r w:rsidR="009537EC" w:rsidRPr="00BC1496">
        <w:rPr>
          <w:b/>
          <w:u w:val="single"/>
        </w:rPr>
        <w:t>suppléant</w:t>
      </w:r>
      <w:r w:rsidR="009537EC">
        <w:t xml:space="preserve"> par exemple pour relancer des services (de manière relativement assistée) en cas de problème pour assurer la </w:t>
      </w:r>
      <w:r w:rsidR="009537EC" w:rsidRPr="00BC1496">
        <w:rPr>
          <w:b/>
          <w:u w:val="single"/>
        </w:rPr>
        <w:t>permanence du service</w:t>
      </w:r>
      <w:r w:rsidR="009537EC">
        <w:t>.</w:t>
      </w:r>
    </w:p>
    <w:p w:rsidR="00A02D46" w:rsidRDefault="00A02D46" w:rsidP="00A02D46">
      <w:pPr>
        <w:pStyle w:val="Paragraphedeliste"/>
        <w:numPr>
          <w:ilvl w:val="1"/>
          <w:numId w:val="25"/>
        </w:numPr>
        <w:jc w:val="both"/>
      </w:pPr>
      <w:r w:rsidRPr="009537EC">
        <w:rPr>
          <w:b/>
          <w:u w:val="single"/>
        </w:rPr>
        <w:t>Organisation de l’administration</w:t>
      </w:r>
      <w:r>
        <w:t xml:space="preserve"> : </w:t>
      </w:r>
      <w:r w:rsidR="009537EC">
        <w:t xml:space="preserve">normalement les responsables de données. On note qu’à ce niveau devra être discuté l’usage et la construction de </w:t>
      </w:r>
      <w:r w:rsidR="009537EC" w:rsidRPr="009537EC">
        <w:rPr>
          <w:b/>
          <w:u w:val="single"/>
        </w:rPr>
        <w:t>thésaurus</w:t>
      </w:r>
      <w:r w:rsidR="009537EC">
        <w:t xml:space="preserve">, Hervé ayant expliqué l’usage de thesaurus externe mais aussi interne. Hervé relance sur la mise en œuvre du </w:t>
      </w:r>
      <w:r w:rsidR="009537EC" w:rsidRPr="00BC1496">
        <w:rPr>
          <w:b/>
          <w:u w:val="single"/>
        </w:rPr>
        <w:t>moissonnage</w:t>
      </w:r>
      <w:r w:rsidR="009537EC">
        <w:t xml:space="preserve"> qui n’avait pas encore été testé dans l’IDS Bac à </w:t>
      </w:r>
      <w:r w:rsidR="009537EC">
        <w:lastRenderedPageBreak/>
        <w:t>Sable et va donc prochainement être activé sous l’impulsion d’Hervé en relation avec Nathalie.</w:t>
      </w:r>
    </w:p>
    <w:p w:rsidR="009537EC" w:rsidRDefault="009537EC" w:rsidP="00A02D46">
      <w:pPr>
        <w:pStyle w:val="Paragraphedeliste"/>
        <w:numPr>
          <w:ilvl w:val="1"/>
          <w:numId w:val="25"/>
        </w:numPr>
        <w:jc w:val="both"/>
      </w:pPr>
      <w:r>
        <w:t xml:space="preserve">Alimentation de l’IDS : ces collègues peuvent assumer tout ou partie de la responsabilité de la qualité des données et métadonnées (à </w:t>
      </w:r>
      <w:r w:rsidR="00BC1496">
        <w:t>rediscuter</w:t>
      </w:r>
      <w:r>
        <w:t>).</w:t>
      </w:r>
    </w:p>
    <w:p w:rsidR="009537EC" w:rsidRDefault="009537EC" w:rsidP="00AA0BD4">
      <w:pPr>
        <w:jc w:val="both"/>
      </w:pPr>
      <w:r>
        <w:t xml:space="preserve">Le </w:t>
      </w:r>
      <w:r w:rsidRPr="009537EC">
        <w:rPr>
          <w:b/>
          <w:u w:val="single"/>
        </w:rPr>
        <w:t xml:space="preserve">retour sur l’utilisation des outils </w:t>
      </w:r>
      <w:proofErr w:type="spellStart"/>
      <w:r w:rsidRPr="009537EC">
        <w:rPr>
          <w:b/>
          <w:u w:val="single"/>
        </w:rPr>
        <w:t>Arcgis</w:t>
      </w:r>
      <w:proofErr w:type="spellEnd"/>
      <w:r>
        <w:t xml:space="preserve"> pour la gestion / publication des données </w:t>
      </w:r>
      <w:proofErr w:type="spellStart"/>
      <w:r>
        <w:t>géoréférencées</w:t>
      </w:r>
      <w:proofErr w:type="spellEnd"/>
      <w:r>
        <w:t xml:space="preserve"> et </w:t>
      </w:r>
      <w:r w:rsidRPr="009537EC">
        <w:rPr>
          <w:b/>
          <w:u w:val="single"/>
        </w:rPr>
        <w:t>remis à la prochaine réunion</w:t>
      </w:r>
      <w:r>
        <w:t xml:space="preserve"> faute d’avancée suffisante.</w:t>
      </w:r>
    </w:p>
    <w:p w:rsidR="009537EC" w:rsidRDefault="009537EC" w:rsidP="00AA0BD4">
      <w:pPr>
        <w:jc w:val="both"/>
      </w:pPr>
    </w:p>
    <w:p w:rsidR="00A02D46" w:rsidRDefault="00BC1496" w:rsidP="00AA0BD4">
      <w:pPr>
        <w:jc w:val="both"/>
      </w:pPr>
      <w:r w:rsidRPr="00BC1496">
        <w:rPr>
          <w:b/>
          <w:u w:val="single"/>
        </w:rPr>
        <w:t>Jean-Baptiste nous a présenté ces travaux d’automatisation</w:t>
      </w:r>
      <w:r>
        <w:t xml:space="preserve"> de l’alimentation de l’IDS offrant notamment une </w:t>
      </w:r>
      <w:r w:rsidRPr="00BC1496">
        <w:rPr>
          <w:b/>
          <w:u w:val="single"/>
        </w:rPr>
        <w:t>traçabilité</w:t>
      </w:r>
      <w:r>
        <w:t xml:space="preserve"> des opérations en même temps qu’un gage de qualité et de </w:t>
      </w:r>
      <w:r w:rsidRPr="00BC1496">
        <w:rPr>
          <w:b/>
          <w:u w:val="single"/>
        </w:rPr>
        <w:t>reproductibilité</w:t>
      </w:r>
      <w:r>
        <w:t xml:space="preserve">. Un </w:t>
      </w:r>
      <w:r w:rsidRPr="00BC1496">
        <w:rPr>
          <w:b/>
          <w:u w:val="single"/>
        </w:rPr>
        <w:t>support</w:t>
      </w:r>
      <w:r>
        <w:t xml:space="preserve"> a été fourni aux participants. Quelques questions liées à la sécurité du processus restent en cours et les solutions devraient être trouvées rapidement (actuellement le processus nécessite encore des droits trop élevés sur l’IDS). D’autres collègues travaillent également sur le sujet de l’automatisation et nous constatons la </w:t>
      </w:r>
      <w:r w:rsidRPr="00BC1496">
        <w:rPr>
          <w:b/>
          <w:u w:val="single"/>
        </w:rPr>
        <w:t>nécessité de plus échanger pour mieux mutualiser ce travail</w:t>
      </w:r>
      <w:r>
        <w:t xml:space="preserve">. A ce titre Jean-Baptiste pense que d’ici la fin de l’année son travail pourra être accessible sur la forge utilisé par son unité. L’analyse plus fine permettra alors de pouvoir </w:t>
      </w:r>
      <w:r w:rsidRPr="00BC1496">
        <w:rPr>
          <w:b/>
          <w:u w:val="single"/>
        </w:rPr>
        <w:t>proposer tout ou partie de ce processus à d’autres collègues</w:t>
      </w:r>
      <w:r>
        <w:t>.</w:t>
      </w:r>
    </w:p>
    <w:p w:rsidR="0049739E" w:rsidRDefault="0049739E" w:rsidP="00A02D46">
      <w:pPr>
        <w:jc w:val="both"/>
      </w:pPr>
      <w:bookmarkStart w:id="0" w:name="_GoBack"/>
      <w:bookmarkEnd w:id="0"/>
    </w:p>
    <w:p w:rsidR="00721A76" w:rsidRDefault="00721A76" w:rsidP="00A02D46">
      <w:pPr>
        <w:jc w:val="both"/>
      </w:pPr>
      <w:r>
        <w:t xml:space="preserve">La discussion sur la </w:t>
      </w:r>
      <w:r w:rsidRPr="00721A76">
        <w:rPr>
          <w:b/>
          <w:u w:val="single"/>
        </w:rPr>
        <w:t>supervision / équilibrage</w:t>
      </w:r>
      <w:r>
        <w:t xml:space="preserve"> mets en évidence la </w:t>
      </w:r>
      <w:r w:rsidRPr="00721A76">
        <w:rPr>
          <w:b/>
          <w:u w:val="single"/>
        </w:rPr>
        <w:t>nécessité de superviser les flux OGC</w:t>
      </w:r>
      <w:r>
        <w:t xml:space="preserve"> (pour détecter un plantage Geoserver notamment) ce qui sera testé </w:t>
      </w:r>
      <w:r w:rsidRPr="00721A76">
        <w:rPr>
          <w:b/>
          <w:u w:val="single"/>
        </w:rPr>
        <w:t xml:space="preserve">prochainement via </w:t>
      </w:r>
      <w:proofErr w:type="spellStart"/>
      <w:r w:rsidRPr="00721A76">
        <w:rPr>
          <w:b/>
          <w:u w:val="single"/>
        </w:rPr>
        <w:t>Monit</w:t>
      </w:r>
      <w:proofErr w:type="spellEnd"/>
      <w:r>
        <w:t xml:space="preserve"> et une url. </w:t>
      </w:r>
      <w:r w:rsidRPr="00721A76">
        <w:rPr>
          <w:b/>
          <w:u w:val="single"/>
        </w:rPr>
        <w:t xml:space="preserve">Hervé et Alain se déclarent partant pour un serveur </w:t>
      </w:r>
      <w:proofErr w:type="spellStart"/>
      <w:r w:rsidRPr="00721A76">
        <w:rPr>
          <w:b/>
          <w:u w:val="single"/>
        </w:rPr>
        <w:t>Nagios</w:t>
      </w:r>
      <w:proofErr w:type="spellEnd"/>
      <w:r>
        <w:t xml:space="preserve"> centralisé, indépendamment de l’IDS et à analyser avec les collègues de </w:t>
      </w:r>
      <w:r w:rsidRPr="00721A76">
        <w:rPr>
          <w:b/>
          <w:u w:val="single"/>
        </w:rPr>
        <w:t>l’action Infrastructure</w:t>
      </w:r>
      <w:r>
        <w:t>.</w:t>
      </w:r>
    </w:p>
    <w:p w:rsidR="00721A76" w:rsidRDefault="00721A76" w:rsidP="00A02D46">
      <w:pPr>
        <w:jc w:val="both"/>
      </w:pPr>
    </w:p>
    <w:p w:rsidR="00721A76" w:rsidRDefault="00140578" w:rsidP="00A02D46">
      <w:pPr>
        <w:jc w:val="both"/>
      </w:pPr>
      <w:r>
        <w:t xml:space="preserve">La </w:t>
      </w:r>
      <w:r w:rsidRPr="00140578">
        <w:rPr>
          <w:b/>
          <w:u w:val="single"/>
        </w:rPr>
        <w:t>planification</w:t>
      </w:r>
      <w:r>
        <w:t xml:space="preserve"> prévue à ce stade consiste à donner l’accès à l’IDS bac à sable de Nancy (Effectif le 10/10/2014) et à récupérer les ressources informatiques de l’IDS bac à sable d’Orléans pour </w:t>
      </w:r>
      <w:r w:rsidRPr="00140578">
        <w:rPr>
          <w:b/>
          <w:u w:val="single"/>
        </w:rPr>
        <w:t>déployer l’IDS de production</w:t>
      </w:r>
      <w:r>
        <w:t xml:space="preserve"> d’ici la </w:t>
      </w:r>
      <w:r w:rsidRPr="00140578">
        <w:rPr>
          <w:b/>
          <w:u w:val="single"/>
        </w:rPr>
        <w:t>fin de l’année</w:t>
      </w:r>
      <w:r>
        <w:t xml:space="preserve"> et au mieux pour fin novembre (peu probable).</w:t>
      </w:r>
    </w:p>
    <w:p w:rsidR="00140578" w:rsidRDefault="00140578" w:rsidP="00A02D46">
      <w:pPr>
        <w:jc w:val="both"/>
      </w:pPr>
    </w:p>
    <w:p w:rsidR="00140578" w:rsidRDefault="00140578" w:rsidP="00A02D46">
      <w:pPr>
        <w:jc w:val="both"/>
      </w:pPr>
      <w:r>
        <w:t xml:space="preserve">Informations diverses à noter : </w:t>
      </w:r>
    </w:p>
    <w:p w:rsidR="00497AD6" w:rsidRDefault="00BE0F85" w:rsidP="00497AD6">
      <w:pPr>
        <w:pStyle w:val="Paragraphedeliste"/>
        <w:numPr>
          <w:ilvl w:val="0"/>
          <w:numId w:val="26"/>
        </w:numPr>
        <w:jc w:val="both"/>
      </w:pPr>
      <w:r>
        <w:t>Hervé nous informe d’un projet d’enseignement en ligne en partenariat avec l’IGN pour mi-2015.</w:t>
      </w:r>
    </w:p>
    <w:p w:rsidR="00BE0F85" w:rsidRDefault="00BE0F85" w:rsidP="00497AD6">
      <w:pPr>
        <w:pStyle w:val="Paragraphedeliste"/>
        <w:numPr>
          <w:ilvl w:val="0"/>
          <w:numId w:val="26"/>
        </w:numPr>
        <w:jc w:val="both"/>
      </w:pPr>
      <w:r>
        <w:t xml:space="preserve">Un guide de la métadonnée est disponible sur le site de </w:t>
      </w:r>
      <w:proofErr w:type="spellStart"/>
      <w:r>
        <w:t>Geobretagne</w:t>
      </w:r>
      <w:proofErr w:type="spellEnd"/>
      <w:r>
        <w:t> :</w:t>
      </w:r>
      <w:r w:rsidR="00132678">
        <w:t xml:space="preserve"> </w:t>
      </w:r>
      <w:hyperlink r:id="rId9" w:history="1">
        <w:r w:rsidR="00132678" w:rsidRPr="00132678">
          <w:rPr>
            <w:rStyle w:val="Lienhypertexte"/>
            <w:sz w:val="16"/>
            <w:szCs w:val="16"/>
          </w:rPr>
          <w:t>http://kartenn.region-bretagne.fr/wiki/doku.php?id=pole_catalogage:guide_de_saisie</w:t>
        </w:r>
      </w:hyperlink>
    </w:p>
    <w:p w:rsidR="00BE0F85" w:rsidRDefault="00BE0F85" w:rsidP="00497AD6">
      <w:pPr>
        <w:pStyle w:val="Paragraphedeliste"/>
        <w:numPr>
          <w:ilvl w:val="0"/>
          <w:numId w:val="26"/>
        </w:numPr>
        <w:jc w:val="both"/>
      </w:pPr>
      <w:r>
        <w:t>La nécessité de communiquer sur les possibilités de l’IDS est avérée et il est souligné que l’aspect construction de la recherche est à bien mettre en évidence. Je suis preneur de collaborateur sur ce sujet.</w:t>
      </w:r>
    </w:p>
    <w:p w:rsidR="00BE0F85" w:rsidRDefault="00BE0F85" w:rsidP="00497AD6">
      <w:pPr>
        <w:pStyle w:val="Paragraphedeliste"/>
        <w:numPr>
          <w:ilvl w:val="0"/>
          <w:numId w:val="26"/>
        </w:numPr>
        <w:jc w:val="both"/>
      </w:pPr>
      <w:r>
        <w:t xml:space="preserve">Hervé nous informe qu’il gère les </w:t>
      </w:r>
      <w:proofErr w:type="spellStart"/>
      <w:r>
        <w:t>Addons</w:t>
      </w:r>
      <w:proofErr w:type="spellEnd"/>
      <w:r>
        <w:t xml:space="preserve"> au sein de </w:t>
      </w:r>
      <w:proofErr w:type="spellStart"/>
      <w:r>
        <w:t>Georchestra</w:t>
      </w:r>
      <w:proofErr w:type="spellEnd"/>
      <w:r>
        <w:t xml:space="preserve"> via Jenkins (une future présentation serait bienvenue).</w:t>
      </w:r>
    </w:p>
    <w:p w:rsidR="00BE0F85" w:rsidRPr="00847804" w:rsidRDefault="00BE0F85" w:rsidP="00497AD6">
      <w:pPr>
        <w:pStyle w:val="Paragraphedeliste"/>
        <w:numPr>
          <w:ilvl w:val="0"/>
          <w:numId w:val="26"/>
        </w:numPr>
        <w:jc w:val="both"/>
      </w:pPr>
      <w:r>
        <w:t>Le projet AICHA couplera probablement la plateforme RECORD à une IDS ou un serveur Geoserver pour le stockage des résultats  de simulation.</w:t>
      </w:r>
    </w:p>
    <w:sectPr w:rsidR="00BE0F85" w:rsidRPr="00847804" w:rsidSect="000D2872">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18" w:rsidRDefault="007F6F18" w:rsidP="007E3007">
      <w:r>
        <w:separator/>
      </w:r>
    </w:p>
  </w:endnote>
  <w:endnote w:type="continuationSeparator" w:id="0">
    <w:p w:rsidR="007F6F18" w:rsidRDefault="007F6F18" w:rsidP="007E3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tblPr>
    <w:tblGrid>
      <w:gridCol w:w="1843"/>
      <w:gridCol w:w="2552"/>
      <w:gridCol w:w="2551"/>
      <w:gridCol w:w="2552"/>
    </w:tblGrid>
    <w:tr w:rsidR="000D2872" w:rsidTr="007743CF">
      <w:tc>
        <w:tcPr>
          <w:tcW w:w="1843" w:type="dxa"/>
          <w:tcBorders>
            <w:top w:val="single" w:sz="6" w:space="0" w:color="008000"/>
            <w:left w:val="single" w:sz="6" w:space="0" w:color="008000"/>
            <w:bottom w:val="single" w:sz="6" w:space="0" w:color="008000"/>
            <w:right w:val="single" w:sz="6" w:space="0" w:color="008000"/>
          </w:tcBorders>
        </w:tcPr>
        <w:p w:rsidR="000D2872" w:rsidRDefault="000D2872" w:rsidP="007743CF">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Approbateur</w:t>
          </w:r>
        </w:p>
      </w:tc>
    </w:tr>
    <w:tr w:rsidR="000D2872" w:rsidTr="007743CF">
      <w:tc>
        <w:tcPr>
          <w:tcW w:w="1843"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r w:rsidRPr="007E3007">
            <w:t xml:space="preserve">Nom : </w:t>
          </w:r>
        </w:p>
        <w:p w:rsidR="000D2872" w:rsidRDefault="000D2872" w:rsidP="007743CF"/>
      </w:tc>
      <w:tc>
        <w:tcPr>
          <w:tcW w:w="2552" w:type="dxa"/>
          <w:tcBorders>
            <w:top w:val="single" w:sz="6" w:space="0" w:color="008000"/>
            <w:left w:val="single" w:sz="6" w:space="0" w:color="008000"/>
            <w:bottom w:val="single" w:sz="6" w:space="0" w:color="008000"/>
            <w:right w:val="single" w:sz="6" w:space="0" w:color="008000"/>
          </w:tcBorders>
        </w:tcPr>
        <w:p w:rsidR="000D2872" w:rsidRPr="00AE6E88" w:rsidRDefault="000D2872" w:rsidP="007743CF">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0D2872" w:rsidRDefault="000D2872" w:rsidP="007743CF">
          <w:r>
            <w:t>Les participants</w:t>
          </w:r>
        </w:p>
      </w:tc>
      <w:tc>
        <w:tcPr>
          <w:tcW w:w="2552" w:type="dxa"/>
          <w:tcBorders>
            <w:top w:val="single" w:sz="6" w:space="0" w:color="008000"/>
            <w:left w:val="single" w:sz="6" w:space="0" w:color="008000"/>
            <w:bottom w:val="single" w:sz="6" w:space="0" w:color="008000"/>
            <w:right w:val="single" w:sz="6" w:space="0" w:color="008000"/>
          </w:tcBorders>
        </w:tcPr>
        <w:p w:rsidR="000D2872" w:rsidRDefault="000D2872" w:rsidP="007743CF">
          <w:r>
            <w:t>Groupe IDS</w:t>
          </w:r>
        </w:p>
      </w:tc>
    </w:tr>
  </w:tbl>
  <w:p w:rsidR="00497AD6" w:rsidRDefault="00497AD6" w:rsidP="000D28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18" w:rsidRDefault="007F6F18" w:rsidP="007E3007">
      <w:r>
        <w:separator/>
      </w:r>
    </w:p>
  </w:footnote>
  <w:footnote w:type="continuationSeparator" w:id="0">
    <w:p w:rsidR="007F6F18" w:rsidRDefault="007F6F18" w:rsidP="007E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2084"/>
    </w:tblGrid>
    <w:tr w:rsidR="00497AD6" w:rsidTr="007743CF">
      <w:trPr>
        <w:trHeight w:val="894"/>
      </w:trPr>
      <w:tc>
        <w:tcPr>
          <w:tcW w:w="2448" w:type="dxa"/>
          <w:vAlign w:val="center"/>
        </w:tcPr>
        <w:p w:rsidR="00497AD6" w:rsidRPr="00C9267B" w:rsidRDefault="00497AD6" w:rsidP="007743CF">
          <w:pPr>
            <w:jc w:val="center"/>
            <w:rPr>
              <w:sz w:val="20"/>
              <w:szCs w:val="20"/>
            </w:rPr>
          </w:pPr>
          <w:r>
            <w:rPr>
              <w:noProof/>
            </w:rPr>
            <w:t>CATI SIOEA</w:t>
          </w:r>
        </w:p>
      </w:tc>
      <w:tc>
        <w:tcPr>
          <w:tcW w:w="4680" w:type="dxa"/>
          <w:vAlign w:val="center"/>
        </w:tcPr>
        <w:p w:rsidR="00497AD6" w:rsidRPr="000261B0" w:rsidRDefault="00497AD6" w:rsidP="00497AD6">
          <w:pPr>
            <w:pStyle w:val="En-tte"/>
            <w:jc w:val="center"/>
            <w:rPr>
              <w:b/>
              <w:sz w:val="20"/>
              <w:szCs w:val="20"/>
            </w:rPr>
          </w:pPr>
          <w:r w:rsidRPr="00C9267B">
            <w:rPr>
              <w:b/>
              <w:sz w:val="20"/>
              <w:szCs w:val="20"/>
            </w:rPr>
            <w:t xml:space="preserve">Objet : </w:t>
          </w:r>
          <w:r>
            <w:rPr>
              <w:b/>
              <w:sz w:val="20"/>
              <w:szCs w:val="20"/>
            </w:rPr>
            <w:t xml:space="preserve">Compte-rendu réunion du </w:t>
          </w:r>
          <w:r>
            <w:rPr>
              <w:b/>
              <w:sz w:val="20"/>
              <w:szCs w:val="20"/>
            </w:rPr>
            <w:t>06/11</w:t>
          </w:r>
          <w:r>
            <w:rPr>
              <w:b/>
              <w:sz w:val="20"/>
              <w:szCs w:val="20"/>
            </w:rPr>
            <w:t>/2014</w:t>
          </w:r>
        </w:p>
      </w:tc>
      <w:tc>
        <w:tcPr>
          <w:tcW w:w="2084" w:type="dxa"/>
          <w:vMerge w:val="restart"/>
        </w:tcPr>
        <w:p w:rsidR="00497AD6" w:rsidRPr="00C9267B" w:rsidRDefault="00497AD6" w:rsidP="007743CF">
          <w:pPr>
            <w:pStyle w:val="En-tte"/>
            <w:rPr>
              <w:sz w:val="20"/>
              <w:szCs w:val="20"/>
            </w:rPr>
          </w:pPr>
          <w:r w:rsidRPr="00C9267B">
            <w:rPr>
              <w:sz w:val="20"/>
              <w:szCs w:val="20"/>
            </w:rPr>
            <w:t xml:space="preserve">Page </w:t>
          </w:r>
          <w:r w:rsidRPr="00C9267B">
            <w:rPr>
              <w:sz w:val="20"/>
              <w:szCs w:val="20"/>
            </w:rPr>
            <w:fldChar w:fldCharType="begin"/>
          </w:r>
          <w:r w:rsidRPr="00C9267B">
            <w:rPr>
              <w:sz w:val="20"/>
              <w:szCs w:val="20"/>
            </w:rPr>
            <w:instrText xml:space="preserve"> PAGE </w:instrText>
          </w:r>
          <w:r w:rsidRPr="00C9267B">
            <w:rPr>
              <w:sz w:val="20"/>
              <w:szCs w:val="20"/>
            </w:rPr>
            <w:fldChar w:fldCharType="separate"/>
          </w:r>
          <w:r w:rsidR="00132678">
            <w:rPr>
              <w:noProof/>
              <w:sz w:val="20"/>
              <w:szCs w:val="20"/>
            </w:rPr>
            <w:t>2</w:t>
          </w:r>
          <w:r w:rsidRPr="00C9267B">
            <w:rPr>
              <w:sz w:val="20"/>
              <w:szCs w:val="20"/>
            </w:rPr>
            <w:fldChar w:fldCharType="end"/>
          </w:r>
          <w:r w:rsidRPr="00C9267B">
            <w:rPr>
              <w:sz w:val="20"/>
              <w:szCs w:val="20"/>
            </w:rPr>
            <w:t xml:space="preserve"> sur </w:t>
          </w:r>
          <w:r w:rsidRPr="00C9267B">
            <w:rPr>
              <w:sz w:val="20"/>
              <w:szCs w:val="20"/>
            </w:rPr>
            <w:fldChar w:fldCharType="begin"/>
          </w:r>
          <w:r w:rsidRPr="00C9267B">
            <w:rPr>
              <w:sz w:val="20"/>
              <w:szCs w:val="20"/>
            </w:rPr>
            <w:instrText xml:space="preserve"> NUMPAGES </w:instrText>
          </w:r>
          <w:r w:rsidRPr="00C9267B">
            <w:rPr>
              <w:sz w:val="20"/>
              <w:szCs w:val="20"/>
            </w:rPr>
            <w:fldChar w:fldCharType="separate"/>
          </w:r>
          <w:r w:rsidR="00132678">
            <w:rPr>
              <w:noProof/>
              <w:sz w:val="20"/>
              <w:szCs w:val="20"/>
            </w:rPr>
            <w:t>2</w:t>
          </w:r>
          <w:r w:rsidRPr="00C9267B">
            <w:rPr>
              <w:sz w:val="20"/>
              <w:szCs w:val="20"/>
            </w:rPr>
            <w:fldChar w:fldCharType="end"/>
          </w:r>
        </w:p>
        <w:p w:rsidR="00497AD6" w:rsidRPr="00C9267B" w:rsidRDefault="00497AD6" w:rsidP="007743CF">
          <w:pPr>
            <w:pStyle w:val="En-tte"/>
            <w:rPr>
              <w:sz w:val="20"/>
              <w:szCs w:val="20"/>
            </w:rPr>
          </w:pPr>
          <w:r w:rsidRPr="00C9267B">
            <w:rPr>
              <w:sz w:val="20"/>
              <w:szCs w:val="20"/>
            </w:rPr>
            <w:t xml:space="preserve">Date : </w:t>
          </w:r>
          <w:r>
            <w:rPr>
              <w:sz w:val="20"/>
              <w:szCs w:val="20"/>
            </w:rPr>
            <w:t>12/11</w:t>
          </w:r>
          <w:r>
            <w:rPr>
              <w:sz w:val="20"/>
              <w:szCs w:val="20"/>
            </w:rPr>
            <w:t>/2014</w:t>
          </w:r>
        </w:p>
        <w:p w:rsidR="00497AD6" w:rsidRPr="00C9267B" w:rsidRDefault="00497AD6" w:rsidP="007743CF">
          <w:pPr>
            <w:pStyle w:val="En-tte"/>
            <w:rPr>
              <w:sz w:val="20"/>
              <w:szCs w:val="20"/>
            </w:rPr>
          </w:pPr>
          <w:r w:rsidRPr="00C9267B">
            <w:rPr>
              <w:sz w:val="20"/>
              <w:szCs w:val="20"/>
            </w:rPr>
            <w:t xml:space="preserve">Version </w:t>
          </w:r>
          <w:r>
            <w:rPr>
              <w:sz w:val="20"/>
              <w:szCs w:val="20"/>
            </w:rPr>
            <w:t>1</w:t>
          </w:r>
        </w:p>
      </w:tc>
    </w:tr>
    <w:tr w:rsidR="00497AD6" w:rsidTr="007743CF">
      <w:tc>
        <w:tcPr>
          <w:tcW w:w="2448" w:type="dxa"/>
        </w:tcPr>
        <w:p w:rsidR="00497AD6" w:rsidRPr="00C9267B" w:rsidRDefault="00497AD6" w:rsidP="007743CF">
          <w:pPr>
            <w:pStyle w:val="En-tte"/>
            <w:rPr>
              <w:sz w:val="20"/>
              <w:szCs w:val="20"/>
            </w:rPr>
          </w:pPr>
        </w:p>
      </w:tc>
      <w:tc>
        <w:tcPr>
          <w:tcW w:w="4680" w:type="dxa"/>
        </w:tcPr>
        <w:p w:rsidR="00497AD6" w:rsidRPr="00993994" w:rsidRDefault="00497AD6" w:rsidP="007743CF">
          <w:pPr>
            <w:pStyle w:val="En-tte"/>
            <w:rPr>
              <w:b/>
            </w:rPr>
          </w:pPr>
        </w:p>
      </w:tc>
      <w:tc>
        <w:tcPr>
          <w:tcW w:w="2084" w:type="dxa"/>
          <w:vMerge/>
        </w:tcPr>
        <w:p w:rsidR="00497AD6" w:rsidRDefault="00497AD6" w:rsidP="007743CF">
          <w:pPr>
            <w:pStyle w:val="En-tte"/>
          </w:pPr>
        </w:p>
      </w:tc>
    </w:tr>
  </w:tbl>
  <w:p w:rsidR="004C03B1" w:rsidRDefault="004C03B1" w:rsidP="00497A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4034"/>
    <w:multiLevelType w:val="hybridMultilevel"/>
    <w:tmpl w:val="753C0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558BE"/>
    <w:multiLevelType w:val="hybridMultilevel"/>
    <w:tmpl w:val="8A766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623C49"/>
    <w:multiLevelType w:val="hybridMultilevel"/>
    <w:tmpl w:val="F38E3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CE04D0D"/>
    <w:multiLevelType w:val="hybridMultilevel"/>
    <w:tmpl w:val="45A8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344736"/>
    <w:multiLevelType w:val="multilevel"/>
    <w:tmpl w:val="8214C0B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CB32E4"/>
    <w:multiLevelType w:val="hybridMultilevel"/>
    <w:tmpl w:val="44FE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0014E0"/>
    <w:multiLevelType w:val="hybridMultilevel"/>
    <w:tmpl w:val="EFE82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256FB5"/>
    <w:multiLevelType w:val="hybridMultilevel"/>
    <w:tmpl w:val="8314FD6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1">
    <w:nsid w:val="55805BD3"/>
    <w:multiLevelType w:val="hybridMultilevel"/>
    <w:tmpl w:val="07189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930625"/>
    <w:multiLevelType w:val="hybridMultilevel"/>
    <w:tmpl w:val="D6CC11E4"/>
    <w:lvl w:ilvl="0" w:tplc="040C0001">
      <w:start w:val="1"/>
      <w:numFmt w:val="bullet"/>
      <w:lvlText w:val=""/>
      <w:lvlJc w:val="left"/>
      <w:pPr>
        <w:ind w:left="783" w:hanging="360"/>
      </w:pPr>
      <w:rPr>
        <w:rFonts w:ascii="Symbol" w:hAnsi="Symbol" w:hint="default"/>
      </w:rPr>
    </w:lvl>
    <w:lvl w:ilvl="1" w:tplc="040C0003">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3">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68E26D90"/>
    <w:multiLevelType w:val="hybridMultilevel"/>
    <w:tmpl w:val="FED4B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4073A3"/>
    <w:multiLevelType w:val="hybridMultilevel"/>
    <w:tmpl w:val="0E763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6178DC"/>
    <w:multiLevelType w:val="hybridMultilevel"/>
    <w:tmpl w:val="A796C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63027B"/>
    <w:multiLevelType w:val="hybridMultilevel"/>
    <w:tmpl w:val="90188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4"/>
  </w:num>
  <w:num w:numId="5">
    <w:abstractNumId w:val="4"/>
  </w:num>
  <w:num w:numId="6">
    <w:abstractNumId w:val="5"/>
  </w:num>
  <w:num w:numId="7">
    <w:abstractNumId w:val="4"/>
  </w:num>
  <w:num w:numId="8">
    <w:abstractNumId w:val="4"/>
  </w:num>
  <w:num w:numId="9">
    <w:abstractNumId w:val="7"/>
  </w:num>
  <w:num w:numId="10">
    <w:abstractNumId w:val="7"/>
  </w:num>
  <w:num w:numId="11">
    <w:abstractNumId w:val="7"/>
  </w:num>
  <w:num w:numId="12">
    <w:abstractNumId w:val="7"/>
  </w:num>
  <w:num w:numId="13">
    <w:abstractNumId w:val="7"/>
  </w:num>
  <w:num w:numId="14">
    <w:abstractNumId w:val="15"/>
  </w:num>
  <w:num w:numId="15">
    <w:abstractNumId w:val="8"/>
  </w:num>
  <w:num w:numId="16">
    <w:abstractNumId w:val="10"/>
  </w:num>
  <w:num w:numId="17">
    <w:abstractNumId w:val="12"/>
  </w:num>
  <w:num w:numId="18">
    <w:abstractNumId w:val="1"/>
  </w:num>
  <w:num w:numId="19">
    <w:abstractNumId w:val="6"/>
  </w:num>
  <w:num w:numId="20">
    <w:abstractNumId w:val="17"/>
  </w:num>
  <w:num w:numId="21">
    <w:abstractNumId w:val="3"/>
  </w:num>
  <w:num w:numId="22">
    <w:abstractNumId w:val="0"/>
  </w:num>
  <w:num w:numId="23">
    <w:abstractNumId w:val="16"/>
  </w:num>
  <w:num w:numId="24">
    <w:abstractNumId w:val="14"/>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D4E44"/>
    <w:rsid w:val="000028B4"/>
    <w:rsid w:val="000261B0"/>
    <w:rsid w:val="00030EE4"/>
    <w:rsid w:val="00045EA7"/>
    <w:rsid w:val="000718DF"/>
    <w:rsid w:val="000B4AEB"/>
    <w:rsid w:val="000D2872"/>
    <w:rsid w:val="000E5D06"/>
    <w:rsid w:val="000E7FBF"/>
    <w:rsid w:val="00105B2F"/>
    <w:rsid w:val="00106953"/>
    <w:rsid w:val="00132678"/>
    <w:rsid w:val="00140578"/>
    <w:rsid w:val="00155986"/>
    <w:rsid w:val="001913C4"/>
    <w:rsid w:val="001C04FA"/>
    <w:rsid w:val="00273D65"/>
    <w:rsid w:val="00280A4F"/>
    <w:rsid w:val="00281AD1"/>
    <w:rsid w:val="00287D93"/>
    <w:rsid w:val="002C2184"/>
    <w:rsid w:val="002D4F61"/>
    <w:rsid w:val="003154AB"/>
    <w:rsid w:val="0033079D"/>
    <w:rsid w:val="003463F7"/>
    <w:rsid w:val="003C7B40"/>
    <w:rsid w:val="003D286B"/>
    <w:rsid w:val="00414AF2"/>
    <w:rsid w:val="0043196B"/>
    <w:rsid w:val="00457AF8"/>
    <w:rsid w:val="0046361B"/>
    <w:rsid w:val="0048565F"/>
    <w:rsid w:val="0049739E"/>
    <w:rsid w:val="00497AD6"/>
    <w:rsid w:val="004C03B1"/>
    <w:rsid w:val="004C5969"/>
    <w:rsid w:val="004D770F"/>
    <w:rsid w:val="004E2076"/>
    <w:rsid w:val="004F45B6"/>
    <w:rsid w:val="00501F97"/>
    <w:rsid w:val="0054725C"/>
    <w:rsid w:val="00550049"/>
    <w:rsid w:val="00576F79"/>
    <w:rsid w:val="00585B43"/>
    <w:rsid w:val="00595CD1"/>
    <w:rsid w:val="005B04B0"/>
    <w:rsid w:val="005B0AAE"/>
    <w:rsid w:val="005B0AB0"/>
    <w:rsid w:val="006337AC"/>
    <w:rsid w:val="0064515F"/>
    <w:rsid w:val="00646939"/>
    <w:rsid w:val="006B2422"/>
    <w:rsid w:val="006D5D1E"/>
    <w:rsid w:val="00701D7C"/>
    <w:rsid w:val="00703C02"/>
    <w:rsid w:val="00721A76"/>
    <w:rsid w:val="00724122"/>
    <w:rsid w:val="007254F1"/>
    <w:rsid w:val="007353A2"/>
    <w:rsid w:val="007468E1"/>
    <w:rsid w:val="00765A3A"/>
    <w:rsid w:val="00775576"/>
    <w:rsid w:val="00787600"/>
    <w:rsid w:val="00795247"/>
    <w:rsid w:val="007A1D21"/>
    <w:rsid w:val="007A7701"/>
    <w:rsid w:val="007E3007"/>
    <w:rsid w:val="007F564B"/>
    <w:rsid w:val="007F6F18"/>
    <w:rsid w:val="008045E4"/>
    <w:rsid w:val="00825036"/>
    <w:rsid w:val="00840DBA"/>
    <w:rsid w:val="00842A91"/>
    <w:rsid w:val="0084461A"/>
    <w:rsid w:val="00847804"/>
    <w:rsid w:val="008A0EFB"/>
    <w:rsid w:val="008A2B56"/>
    <w:rsid w:val="008C47BC"/>
    <w:rsid w:val="008D7CD4"/>
    <w:rsid w:val="008F37E5"/>
    <w:rsid w:val="008F49CD"/>
    <w:rsid w:val="00910AA2"/>
    <w:rsid w:val="00952A2C"/>
    <w:rsid w:val="00952B95"/>
    <w:rsid w:val="009537EC"/>
    <w:rsid w:val="00965A8B"/>
    <w:rsid w:val="00974768"/>
    <w:rsid w:val="009841B1"/>
    <w:rsid w:val="009E329E"/>
    <w:rsid w:val="009F1787"/>
    <w:rsid w:val="009F3E37"/>
    <w:rsid w:val="009F617B"/>
    <w:rsid w:val="00A02D46"/>
    <w:rsid w:val="00A25D8C"/>
    <w:rsid w:val="00A43A6F"/>
    <w:rsid w:val="00A738A2"/>
    <w:rsid w:val="00A768E3"/>
    <w:rsid w:val="00AA0BD4"/>
    <w:rsid w:val="00AA1E98"/>
    <w:rsid w:val="00AC10C8"/>
    <w:rsid w:val="00AC723F"/>
    <w:rsid w:val="00AD6B98"/>
    <w:rsid w:val="00AF248B"/>
    <w:rsid w:val="00B0670D"/>
    <w:rsid w:val="00B11477"/>
    <w:rsid w:val="00B46F94"/>
    <w:rsid w:val="00B55D47"/>
    <w:rsid w:val="00B55D5F"/>
    <w:rsid w:val="00B63876"/>
    <w:rsid w:val="00B64B36"/>
    <w:rsid w:val="00B65FA8"/>
    <w:rsid w:val="00B819F5"/>
    <w:rsid w:val="00B93650"/>
    <w:rsid w:val="00BA50B7"/>
    <w:rsid w:val="00BC1496"/>
    <w:rsid w:val="00BC543A"/>
    <w:rsid w:val="00BD4E44"/>
    <w:rsid w:val="00BD6222"/>
    <w:rsid w:val="00BE0F85"/>
    <w:rsid w:val="00BF22B0"/>
    <w:rsid w:val="00C45AD7"/>
    <w:rsid w:val="00C60278"/>
    <w:rsid w:val="00C73317"/>
    <w:rsid w:val="00C851D6"/>
    <w:rsid w:val="00C94230"/>
    <w:rsid w:val="00CE7D88"/>
    <w:rsid w:val="00D22EA7"/>
    <w:rsid w:val="00D22F1E"/>
    <w:rsid w:val="00D3102D"/>
    <w:rsid w:val="00D52F43"/>
    <w:rsid w:val="00DB424E"/>
    <w:rsid w:val="00DE7284"/>
    <w:rsid w:val="00E02714"/>
    <w:rsid w:val="00E051AA"/>
    <w:rsid w:val="00E808A3"/>
    <w:rsid w:val="00E92BAC"/>
    <w:rsid w:val="00EA534F"/>
    <w:rsid w:val="00F10B64"/>
    <w:rsid w:val="00F116E3"/>
    <w:rsid w:val="00F17C78"/>
    <w:rsid w:val="00F21D77"/>
    <w:rsid w:val="00F2496B"/>
    <w:rsid w:val="00F62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Lienhypertextesuivivisit">
    <w:name w:val="FollowedHyperlink"/>
    <w:basedOn w:val="Policepardfaut"/>
    <w:uiPriority w:val="99"/>
    <w:semiHidden/>
    <w:unhideWhenUsed/>
    <w:rsid w:val="00C851D6"/>
    <w:rPr>
      <w:color w:val="800080" w:themeColor="followedHyperlink"/>
      <w:u w:val="single"/>
    </w:rPr>
  </w:style>
  <w:style w:type="character" w:styleId="Marquedecommentaire">
    <w:name w:val="annotation reference"/>
    <w:basedOn w:val="Policepardfaut"/>
    <w:uiPriority w:val="99"/>
    <w:semiHidden/>
    <w:unhideWhenUsed/>
    <w:rsid w:val="00787600"/>
    <w:rPr>
      <w:sz w:val="16"/>
      <w:szCs w:val="16"/>
    </w:rPr>
  </w:style>
  <w:style w:type="paragraph" w:styleId="Commentaire">
    <w:name w:val="annotation text"/>
    <w:basedOn w:val="Normal"/>
    <w:link w:val="CommentaireCar"/>
    <w:uiPriority w:val="99"/>
    <w:semiHidden/>
    <w:unhideWhenUsed/>
    <w:rsid w:val="00787600"/>
    <w:rPr>
      <w:sz w:val="20"/>
      <w:szCs w:val="20"/>
    </w:rPr>
  </w:style>
  <w:style w:type="character" w:customStyle="1" w:styleId="CommentaireCar">
    <w:name w:val="Commentaire Car"/>
    <w:basedOn w:val="Policepardfaut"/>
    <w:link w:val="Commentaire"/>
    <w:uiPriority w:val="99"/>
    <w:semiHidden/>
    <w:rsid w:val="0078760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7600"/>
    <w:rPr>
      <w:b/>
      <w:bCs/>
    </w:rPr>
  </w:style>
  <w:style w:type="character" w:customStyle="1" w:styleId="ObjetducommentaireCar">
    <w:name w:val="Objet du commentaire Car"/>
    <w:basedOn w:val="CommentaireCar"/>
    <w:link w:val="Objetducommentaire"/>
    <w:uiPriority w:val="99"/>
    <w:semiHidden/>
    <w:rsid w:val="00787600"/>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semiHidden/>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Lienhypertextesuivivisit">
    <w:name w:val="FollowedHyperlink"/>
    <w:basedOn w:val="Policepardfaut"/>
    <w:uiPriority w:val="99"/>
    <w:semiHidden/>
    <w:unhideWhenUsed/>
    <w:rsid w:val="00C851D6"/>
    <w:rPr>
      <w:color w:val="800080" w:themeColor="followedHyperlink"/>
      <w:u w:val="single"/>
    </w:rPr>
  </w:style>
  <w:style w:type="character" w:styleId="Marquedecommentaire">
    <w:name w:val="annotation reference"/>
    <w:basedOn w:val="Policepardfaut"/>
    <w:uiPriority w:val="99"/>
    <w:semiHidden/>
    <w:unhideWhenUsed/>
    <w:rsid w:val="00787600"/>
    <w:rPr>
      <w:sz w:val="16"/>
      <w:szCs w:val="16"/>
    </w:rPr>
  </w:style>
  <w:style w:type="paragraph" w:styleId="Commentaire">
    <w:name w:val="annotation text"/>
    <w:basedOn w:val="Normal"/>
    <w:link w:val="CommentaireCar"/>
    <w:uiPriority w:val="99"/>
    <w:semiHidden/>
    <w:unhideWhenUsed/>
    <w:rsid w:val="00787600"/>
    <w:rPr>
      <w:sz w:val="20"/>
      <w:szCs w:val="20"/>
    </w:rPr>
  </w:style>
  <w:style w:type="character" w:customStyle="1" w:styleId="CommentaireCar">
    <w:name w:val="Commentaire Car"/>
    <w:basedOn w:val="Policepardfaut"/>
    <w:link w:val="Commentaire"/>
    <w:uiPriority w:val="99"/>
    <w:semiHidden/>
    <w:rsid w:val="0078760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7600"/>
    <w:rPr>
      <w:b/>
      <w:bCs/>
    </w:rPr>
  </w:style>
  <w:style w:type="character" w:customStyle="1" w:styleId="ObjetducommentaireCar">
    <w:name w:val="Objet du commentaire Car"/>
    <w:basedOn w:val="CommentaireCar"/>
    <w:link w:val="Objetducommentaire"/>
    <w:uiPriority w:val="99"/>
    <w:semiHidden/>
    <w:rsid w:val="00787600"/>
    <w:rPr>
      <w:rFonts w:ascii="Times New Roman" w:eastAsia="Times New Roman" w:hAnsi="Times New Roman" w:cs="Times New Roman"/>
      <w:b/>
      <w:bCs/>
      <w:sz w:val="20"/>
      <w:szCs w:val="20"/>
      <w:lang w:eastAsia="fr-FR"/>
    </w:rPr>
  </w:style>
</w:styles>
</file>

<file path=word/webSettings.xml><?xml version="1.0" encoding="utf-8"?>
<w:webSettings xmlns:r="http://schemas.openxmlformats.org/officeDocument/2006/relationships" xmlns:w="http://schemas.openxmlformats.org/wordprocessingml/2006/main">
  <w:divs>
    <w:div w:id="161705629">
      <w:bodyDiv w:val="1"/>
      <w:marLeft w:val="0"/>
      <w:marRight w:val="0"/>
      <w:marTop w:val="0"/>
      <w:marBottom w:val="0"/>
      <w:divBdr>
        <w:top w:val="none" w:sz="0" w:space="0" w:color="auto"/>
        <w:left w:val="none" w:sz="0" w:space="0" w:color="auto"/>
        <w:bottom w:val="none" w:sz="0" w:space="0" w:color="auto"/>
        <w:right w:val="none" w:sz="0" w:space="0" w:color="auto"/>
      </w:divBdr>
    </w:div>
    <w:div w:id="709451296">
      <w:bodyDiv w:val="1"/>
      <w:marLeft w:val="0"/>
      <w:marRight w:val="0"/>
      <w:marTop w:val="0"/>
      <w:marBottom w:val="0"/>
      <w:divBdr>
        <w:top w:val="none" w:sz="0" w:space="0" w:color="auto"/>
        <w:left w:val="none" w:sz="0" w:space="0" w:color="auto"/>
        <w:bottom w:val="none" w:sz="0" w:space="0" w:color="auto"/>
        <w:right w:val="none" w:sz="0" w:space="0" w:color="auto"/>
      </w:divBdr>
    </w:div>
    <w:div w:id="1039823187">
      <w:bodyDiv w:val="1"/>
      <w:marLeft w:val="0"/>
      <w:marRight w:val="0"/>
      <w:marTop w:val="0"/>
      <w:marBottom w:val="0"/>
      <w:divBdr>
        <w:top w:val="none" w:sz="0" w:space="0" w:color="auto"/>
        <w:left w:val="none" w:sz="0" w:space="0" w:color="auto"/>
        <w:bottom w:val="none" w:sz="0" w:space="0" w:color="auto"/>
        <w:right w:val="none" w:sz="0" w:space="0" w:color="auto"/>
      </w:divBdr>
    </w:div>
    <w:div w:id="1167674149">
      <w:bodyDiv w:val="1"/>
      <w:marLeft w:val="0"/>
      <w:marRight w:val="0"/>
      <w:marTop w:val="0"/>
      <w:marBottom w:val="0"/>
      <w:divBdr>
        <w:top w:val="none" w:sz="0" w:space="0" w:color="auto"/>
        <w:left w:val="none" w:sz="0" w:space="0" w:color="auto"/>
        <w:bottom w:val="none" w:sz="0" w:space="0" w:color="auto"/>
        <w:right w:val="none" w:sz="0" w:space="0" w:color="auto"/>
      </w:divBdr>
    </w:div>
    <w:div w:id="1340698260">
      <w:bodyDiv w:val="1"/>
      <w:marLeft w:val="0"/>
      <w:marRight w:val="0"/>
      <w:marTop w:val="0"/>
      <w:marBottom w:val="0"/>
      <w:divBdr>
        <w:top w:val="none" w:sz="0" w:space="0" w:color="auto"/>
        <w:left w:val="none" w:sz="0" w:space="0" w:color="auto"/>
        <w:bottom w:val="none" w:sz="0" w:space="0" w:color="auto"/>
        <w:right w:val="none" w:sz="0" w:space="0" w:color="auto"/>
      </w:divBdr>
    </w:div>
    <w:div w:id="1954433328">
      <w:bodyDiv w:val="1"/>
      <w:marLeft w:val="0"/>
      <w:marRight w:val="0"/>
      <w:marTop w:val="0"/>
      <w:marBottom w:val="0"/>
      <w:divBdr>
        <w:top w:val="none" w:sz="0" w:space="0" w:color="auto"/>
        <w:left w:val="none" w:sz="0" w:space="0" w:color="auto"/>
        <w:bottom w:val="none" w:sz="0" w:space="0" w:color="auto"/>
        <w:right w:val="none" w:sz="0" w:space="0" w:color="auto"/>
      </w:divBdr>
    </w:div>
    <w:div w:id="1988513964">
      <w:bodyDiv w:val="1"/>
      <w:marLeft w:val="0"/>
      <w:marRight w:val="0"/>
      <w:marTop w:val="0"/>
      <w:marBottom w:val="0"/>
      <w:divBdr>
        <w:top w:val="none" w:sz="0" w:space="0" w:color="auto"/>
        <w:left w:val="none" w:sz="0" w:space="0" w:color="auto"/>
        <w:bottom w:val="none" w:sz="0" w:space="0" w:color="auto"/>
        <w:right w:val="none" w:sz="0" w:space="0" w:color="auto"/>
      </w:divBdr>
    </w:div>
    <w:div w:id="2119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s-bas-portail.nancy.inra.fr/adm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geodb.nancy.inra.fr/donnees/documentations/ids/bacasable/_m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rtenn.region-bretagne.fr/wiki/doku.php?id=pole_catalogage:guide_de_saisie"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20-%20SIOE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 - SIOEA.dotx</Template>
  <TotalTime>117</TotalTime>
  <Pages>2</Pages>
  <Words>864</Words>
  <Characters>4756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alain</cp:lastModifiedBy>
  <cp:revision>12</cp:revision>
  <dcterms:created xsi:type="dcterms:W3CDTF">2014-07-11T07:48:00Z</dcterms:created>
  <dcterms:modified xsi:type="dcterms:W3CDTF">2014-11-12T12:17:00Z</dcterms:modified>
</cp:coreProperties>
</file>